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C081" w14:textId="1A811644" w:rsidR="00DC16EA" w:rsidRDefault="00715620">
      <w:pPr>
        <w:rPr>
          <w:rFonts w:ascii="BureauGrotCondensed" w:hAnsi="BureauGrotCondensed"/>
          <w:sz w:val="28"/>
          <w:szCs w:val="28"/>
        </w:rPr>
      </w:pPr>
      <w:r>
        <w:rPr>
          <w:rFonts w:ascii="BureauGrotCondensed" w:hAnsi="BureauGrotCondensed"/>
          <w:noProof/>
          <w:sz w:val="28"/>
          <w:szCs w:val="28"/>
        </w:rPr>
        <w:drawing>
          <wp:anchor distT="0" distB="0" distL="114300" distR="114300" simplePos="0" relativeHeight="251658240" behindDoc="1" locked="0" layoutInCell="1" allowOverlap="1" wp14:anchorId="421E782A" wp14:editId="033FFC7B">
            <wp:simplePos x="0" y="0"/>
            <wp:positionH relativeFrom="column">
              <wp:posOffset>-223520</wp:posOffset>
            </wp:positionH>
            <wp:positionV relativeFrom="paragraph">
              <wp:posOffset>317</wp:posOffset>
            </wp:positionV>
            <wp:extent cx="2847340" cy="991870"/>
            <wp:effectExtent l="0" t="0" r="0" b="0"/>
            <wp:wrapTight wrapText="bothSides">
              <wp:wrapPolygon edited="0">
                <wp:start x="0" y="0"/>
                <wp:lineTo x="0" y="21157"/>
                <wp:lineTo x="21388" y="21157"/>
                <wp:lineTo x="21388"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7340" cy="991870"/>
                    </a:xfrm>
                    <a:prstGeom prst="rect">
                      <a:avLst/>
                    </a:prstGeom>
                  </pic:spPr>
                </pic:pic>
              </a:graphicData>
            </a:graphic>
            <wp14:sizeRelH relativeFrom="margin">
              <wp14:pctWidth>0</wp14:pctWidth>
            </wp14:sizeRelH>
            <wp14:sizeRelV relativeFrom="margin">
              <wp14:pctHeight>0</wp14:pctHeight>
            </wp14:sizeRelV>
          </wp:anchor>
        </w:drawing>
      </w:r>
    </w:p>
    <w:p w14:paraId="0545F3FD" w14:textId="23DAC33F" w:rsidR="00DC16EA" w:rsidRDefault="00DC16EA">
      <w:pPr>
        <w:rPr>
          <w:rFonts w:ascii="BureauGrotCondensed" w:hAnsi="BureauGrotCondensed"/>
          <w:sz w:val="28"/>
          <w:szCs w:val="28"/>
        </w:rPr>
      </w:pPr>
    </w:p>
    <w:p w14:paraId="21C4D2E8" w14:textId="77777777" w:rsidR="00DC16EA" w:rsidRDefault="00DC16EA">
      <w:pPr>
        <w:rPr>
          <w:rFonts w:ascii="BureauGrotCondensed" w:hAnsi="BureauGrotCondensed"/>
          <w:sz w:val="28"/>
          <w:szCs w:val="28"/>
        </w:rPr>
      </w:pPr>
    </w:p>
    <w:p w14:paraId="7374A730" w14:textId="653FED87" w:rsidR="00B77E68" w:rsidRPr="00DC16EA" w:rsidRDefault="008C3A65">
      <w:pPr>
        <w:rPr>
          <w:rFonts w:ascii="BureauGrotCondensed" w:hAnsi="BureauGrotCondensed"/>
          <w:sz w:val="28"/>
          <w:szCs w:val="28"/>
        </w:rPr>
      </w:pPr>
      <w:r w:rsidRPr="00DC16EA">
        <w:rPr>
          <w:rFonts w:ascii="BureauGrotCondensed" w:hAnsi="BureauGrotCondensed"/>
          <w:sz w:val="28"/>
          <w:szCs w:val="28"/>
        </w:rPr>
        <w:t>AUTOMATED DECISION MAKING</w:t>
      </w:r>
    </w:p>
    <w:p w14:paraId="77E64D1C" w14:textId="1440D0AF" w:rsidR="008C3A65" w:rsidRPr="00715620" w:rsidRDefault="008C3A65">
      <w:pPr>
        <w:rPr>
          <w:rFonts w:ascii="BureauGrotCondensed" w:hAnsi="BureauGrotCondensed"/>
          <w:color w:val="008561"/>
          <w:sz w:val="28"/>
          <w:szCs w:val="28"/>
        </w:rPr>
      </w:pPr>
      <w:r w:rsidRPr="00715620">
        <w:rPr>
          <w:rFonts w:ascii="BureauGrotCondensed" w:hAnsi="BureauGrotCondensed"/>
          <w:color w:val="008561"/>
          <w:sz w:val="28"/>
          <w:szCs w:val="28"/>
        </w:rPr>
        <w:t>MARCH 2022</w:t>
      </w:r>
    </w:p>
    <w:p w14:paraId="61079FCD" w14:textId="63D0DFE5" w:rsidR="009B6ABA" w:rsidRPr="00DC16EA" w:rsidRDefault="009B6ABA" w:rsidP="009B6ABA">
      <w:pPr>
        <w:rPr>
          <w:rFonts w:ascii="BureauGrot Light" w:hAnsi="BureauGrot Light"/>
        </w:rPr>
      </w:pPr>
      <w:r w:rsidRPr="00DC16EA">
        <w:rPr>
          <w:rFonts w:ascii="BureauGrot Light" w:hAnsi="BureauGrot Light"/>
        </w:rPr>
        <w:t>Two Policy and Campaigns staff</w:t>
      </w:r>
      <w:r w:rsidR="008C3A65" w:rsidRPr="00DC16EA">
        <w:rPr>
          <w:rFonts w:ascii="BureauGrot Light" w:hAnsi="BureauGrot Light"/>
        </w:rPr>
        <w:t xml:space="preserve"> presented a paper on automated decision making. The paper invited the Council to endorse a set of principles to guide Liberty’s general approach to and work on ADM (including future policy advocacy, legal interventions, and key messages), given the increasing pace of technological change, the extent and degree of threats to human rights and civil liberties, and the increase in reliance on automated tools to assist or dictate decisions impacting human rights</w:t>
      </w:r>
      <w:r w:rsidR="00715620">
        <w:rPr>
          <w:rFonts w:ascii="BureauGrot Light" w:hAnsi="BureauGrot Light"/>
        </w:rPr>
        <w:t>:</w:t>
      </w:r>
      <w:r w:rsidR="008C3A65" w:rsidRPr="00DC16EA">
        <w:rPr>
          <w:rFonts w:ascii="BureauGrot Light" w:hAnsi="BureauGrot Light"/>
        </w:rPr>
        <w:t xml:space="preserve"> </w:t>
      </w:r>
    </w:p>
    <w:p w14:paraId="35130874" w14:textId="673CF036" w:rsidR="009B6ABA" w:rsidRPr="00DC16EA" w:rsidRDefault="009B6ABA" w:rsidP="009B6ABA">
      <w:pPr>
        <w:pStyle w:val="ListParagraph"/>
        <w:numPr>
          <w:ilvl w:val="0"/>
          <w:numId w:val="1"/>
        </w:numPr>
        <w:rPr>
          <w:rFonts w:ascii="BureauGrot Light" w:hAnsi="BureauGrot Light"/>
        </w:rPr>
      </w:pPr>
      <w:r w:rsidRPr="00DC16EA">
        <w:rPr>
          <w:rFonts w:ascii="BureauGrot Light" w:hAnsi="BureauGrot Light"/>
        </w:rPr>
        <w:t xml:space="preserve">Human Rights analysis </w:t>
      </w:r>
    </w:p>
    <w:p w14:paraId="36382B53" w14:textId="4859C5D8" w:rsidR="009B6ABA" w:rsidRPr="00DC16EA" w:rsidRDefault="009B6ABA" w:rsidP="009B6ABA">
      <w:pPr>
        <w:pStyle w:val="ListParagraph"/>
        <w:numPr>
          <w:ilvl w:val="1"/>
          <w:numId w:val="10"/>
        </w:numPr>
        <w:rPr>
          <w:rFonts w:ascii="BureauGrot Light" w:hAnsi="BureauGrot Light"/>
        </w:rPr>
      </w:pPr>
      <w:r w:rsidRPr="00DC16EA">
        <w:rPr>
          <w:rFonts w:ascii="BureauGrot Light" w:hAnsi="BureauGrot Light"/>
        </w:rPr>
        <w:t>Does the policy or practice engage and/or interfere with human rights?</w:t>
      </w:r>
    </w:p>
    <w:p w14:paraId="1ACEDA3E" w14:textId="00C9A64F" w:rsidR="009B6ABA" w:rsidRPr="00DC16EA" w:rsidRDefault="009B6ABA" w:rsidP="009B6ABA">
      <w:pPr>
        <w:pStyle w:val="ListParagraph"/>
        <w:numPr>
          <w:ilvl w:val="1"/>
          <w:numId w:val="10"/>
        </w:numPr>
        <w:rPr>
          <w:rFonts w:ascii="BureauGrot Light" w:hAnsi="BureauGrot Light"/>
        </w:rPr>
      </w:pPr>
      <w:r w:rsidRPr="00DC16EA">
        <w:rPr>
          <w:rFonts w:ascii="BureauGrot Light" w:hAnsi="BureauGrot Light"/>
        </w:rPr>
        <w:t>Is it lawful?</w:t>
      </w:r>
    </w:p>
    <w:p w14:paraId="5CA7687A" w14:textId="5E52850C" w:rsidR="009B6ABA" w:rsidRPr="00DC16EA" w:rsidRDefault="009B6ABA" w:rsidP="009B6ABA">
      <w:pPr>
        <w:pStyle w:val="ListParagraph"/>
        <w:numPr>
          <w:ilvl w:val="1"/>
          <w:numId w:val="10"/>
        </w:numPr>
        <w:rPr>
          <w:rFonts w:ascii="BureauGrot Light" w:hAnsi="BureauGrot Light"/>
        </w:rPr>
      </w:pPr>
      <w:r w:rsidRPr="00DC16EA">
        <w:rPr>
          <w:rFonts w:ascii="BureauGrot Light" w:hAnsi="BureauGrot Light"/>
        </w:rPr>
        <w:t>Is it necessary and proportionate?</w:t>
      </w:r>
    </w:p>
    <w:p w14:paraId="7CE52930" w14:textId="51DFA6CD" w:rsidR="009B6ABA" w:rsidRPr="00DC16EA" w:rsidRDefault="008C3A65" w:rsidP="009B6ABA">
      <w:pPr>
        <w:pStyle w:val="ListParagraph"/>
        <w:numPr>
          <w:ilvl w:val="0"/>
          <w:numId w:val="1"/>
        </w:numPr>
        <w:rPr>
          <w:rFonts w:ascii="BureauGrot Light" w:hAnsi="BureauGrot Light"/>
        </w:rPr>
      </w:pPr>
      <w:r w:rsidRPr="00DC16EA">
        <w:rPr>
          <w:rFonts w:ascii="BureauGrot Light" w:hAnsi="BureauGrot Light"/>
        </w:rPr>
        <w:t xml:space="preserve">Anti-oppression analysis </w:t>
      </w:r>
    </w:p>
    <w:p w14:paraId="060219C3" w14:textId="7C0B350A" w:rsidR="009B6ABA" w:rsidRPr="00DC16EA" w:rsidRDefault="009B6ABA" w:rsidP="009B6ABA">
      <w:pPr>
        <w:pStyle w:val="ListParagraph"/>
        <w:numPr>
          <w:ilvl w:val="1"/>
          <w:numId w:val="11"/>
        </w:numPr>
        <w:rPr>
          <w:rFonts w:ascii="BureauGrot Light" w:hAnsi="BureauGrot Light"/>
        </w:rPr>
      </w:pPr>
      <w:r w:rsidRPr="00DC16EA">
        <w:rPr>
          <w:rFonts w:ascii="BureauGrot Light" w:hAnsi="BureauGrot Light"/>
        </w:rPr>
        <w:t>What are the broader systems of oppression?</w:t>
      </w:r>
    </w:p>
    <w:p w14:paraId="0FF2E9CF" w14:textId="0620D554" w:rsidR="009B6ABA" w:rsidRPr="00DC16EA" w:rsidRDefault="009B6ABA" w:rsidP="009B6ABA">
      <w:pPr>
        <w:pStyle w:val="ListParagraph"/>
        <w:numPr>
          <w:ilvl w:val="1"/>
          <w:numId w:val="11"/>
        </w:numPr>
        <w:rPr>
          <w:rFonts w:ascii="BureauGrot Light" w:hAnsi="BureauGrot Light"/>
        </w:rPr>
      </w:pPr>
      <w:r w:rsidRPr="00DC16EA">
        <w:rPr>
          <w:rFonts w:ascii="BureauGrot Light" w:hAnsi="BureauGrot Light"/>
        </w:rPr>
        <w:t>How does the ADM system impact marginalised groups?</w:t>
      </w:r>
    </w:p>
    <w:p w14:paraId="16B8A404" w14:textId="77777777" w:rsidR="00DC16EA" w:rsidRPr="00DC16EA" w:rsidRDefault="00DC16EA" w:rsidP="00DC16EA">
      <w:pPr>
        <w:rPr>
          <w:rFonts w:ascii="BureauGrot Light" w:hAnsi="BureauGrot Light"/>
        </w:rPr>
      </w:pPr>
      <w:r w:rsidRPr="00DC16EA">
        <w:rPr>
          <w:rFonts w:ascii="BureauGrot Light" w:hAnsi="BureauGrot Light"/>
        </w:rPr>
        <w:t>The principles were subsequently applied to the recent example of the UK A-Levels Algorithm scandal of 2020.</w:t>
      </w:r>
    </w:p>
    <w:p w14:paraId="0D550C63" w14:textId="55617454" w:rsidR="009B6ABA" w:rsidRPr="00DC16EA" w:rsidRDefault="009B6ABA" w:rsidP="009B6ABA">
      <w:pPr>
        <w:rPr>
          <w:rFonts w:ascii="BureauGrot Light" w:hAnsi="BureauGrot Light"/>
        </w:rPr>
      </w:pPr>
      <w:r w:rsidRPr="00DC16EA">
        <w:rPr>
          <w:rFonts w:ascii="BureauGrot Light" w:hAnsi="BureauGrot Light"/>
        </w:rPr>
        <w:t xml:space="preserve">The above overarching set of principles is not intended to be an exhaustive summary of the factors Liberty will consider, nor are they intended to be applied in a formulaic manner; instead, they aim to foster greater consistency in Liberty’s positions, while facilitating an agile response to emerging policies and practices in this context. </w:t>
      </w:r>
      <w:r w:rsidR="00DC16EA" w:rsidRPr="00DC16EA">
        <w:rPr>
          <w:rFonts w:ascii="BureauGrot Light" w:hAnsi="BureauGrot Light"/>
        </w:rPr>
        <w:t xml:space="preserve">The Policy Council paper also did not have scope to determine what future policy positions Liberty may want to support or advocate for or against in circumstances where an ADM system crosses the hurdles established by the above guiding questions. </w:t>
      </w:r>
    </w:p>
    <w:p w14:paraId="4486C939" w14:textId="2493CFDB" w:rsidR="009B6ABA" w:rsidRPr="00DC16EA" w:rsidRDefault="009B6ABA" w:rsidP="009B6ABA">
      <w:pPr>
        <w:rPr>
          <w:rFonts w:ascii="BureauGrot Light" w:hAnsi="BureauGrot Light"/>
        </w:rPr>
      </w:pPr>
      <w:r w:rsidRPr="00DC16EA">
        <w:rPr>
          <w:rFonts w:ascii="BureauGrot Light" w:hAnsi="BureauGrot Light"/>
        </w:rPr>
        <w:t xml:space="preserve">The principles were accepted by Policy Council as a good framework through which Liberty can engage on issues relating to automated decision making. </w:t>
      </w:r>
    </w:p>
    <w:p w14:paraId="150C20DA" w14:textId="77777777" w:rsidR="009B6ABA" w:rsidRPr="00DC16EA" w:rsidRDefault="009B6ABA" w:rsidP="009B6ABA">
      <w:pPr>
        <w:rPr>
          <w:rFonts w:ascii="BureauGrot Light" w:hAnsi="BureauGrot Light"/>
        </w:rPr>
      </w:pPr>
    </w:p>
    <w:p w14:paraId="3D616746" w14:textId="77777777" w:rsidR="008C3A65" w:rsidRPr="00DC16EA" w:rsidRDefault="008C3A65">
      <w:pPr>
        <w:rPr>
          <w:rFonts w:ascii="BureauGrot Light" w:hAnsi="BureauGrot Light"/>
        </w:rPr>
      </w:pPr>
    </w:p>
    <w:sectPr w:rsidR="008C3A65" w:rsidRPr="00DC1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ureauGrotCondensed">
    <w:panose1 w:val="02000806040000020004"/>
    <w:charset w:val="00"/>
    <w:family w:val="modern"/>
    <w:notTrueType/>
    <w:pitch w:val="variable"/>
    <w:sig w:usb0="00000003" w:usb1="00000000" w:usb2="00000000" w:usb3="00000000" w:csb0="00000001" w:csb1="00000000"/>
  </w:font>
  <w:font w:name="BureauGrot Light">
    <w:panose1 w:val="020006060400000200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624D2"/>
    <w:multiLevelType w:val="multilevel"/>
    <w:tmpl w:val="7E34172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2D026B79"/>
    <w:multiLevelType w:val="hybridMultilevel"/>
    <w:tmpl w:val="BEAE988C"/>
    <w:lvl w:ilvl="0" w:tplc="FFFFFFF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452C98"/>
    <w:multiLevelType w:val="multilevel"/>
    <w:tmpl w:val="0FFEF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7074091"/>
    <w:multiLevelType w:val="multilevel"/>
    <w:tmpl w:val="69A8CD4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4AB13464"/>
    <w:multiLevelType w:val="multilevel"/>
    <w:tmpl w:val="1FCE6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11261DC"/>
    <w:multiLevelType w:val="multilevel"/>
    <w:tmpl w:val="E9DAD47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54FE4DA7"/>
    <w:multiLevelType w:val="multilevel"/>
    <w:tmpl w:val="AE32253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59E87594"/>
    <w:multiLevelType w:val="hybridMultilevel"/>
    <w:tmpl w:val="12D49E2E"/>
    <w:lvl w:ilvl="0" w:tplc="FFFFFFF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8E4155"/>
    <w:multiLevelType w:val="multilevel"/>
    <w:tmpl w:val="368E58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F04F6B"/>
    <w:multiLevelType w:val="multilevel"/>
    <w:tmpl w:val="F5A8CA1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6FF14378"/>
    <w:multiLevelType w:val="hybridMultilevel"/>
    <w:tmpl w:val="489ACF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1"/>
  </w:num>
  <w:num w:numId="5">
    <w:abstractNumId w:val="5"/>
  </w:num>
  <w:num w:numId="6">
    <w:abstractNumId w:val="9"/>
  </w:num>
  <w:num w:numId="7">
    <w:abstractNumId w:val="8"/>
  </w:num>
  <w:num w:numId="8">
    <w:abstractNumId w:val="4"/>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65"/>
    <w:rsid w:val="00715620"/>
    <w:rsid w:val="008C3A65"/>
    <w:rsid w:val="009B6ABA"/>
    <w:rsid w:val="00B77E68"/>
    <w:rsid w:val="00D03C42"/>
    <w:rsid w:val="00DC1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E792"/>
  <w15:chartTrackingRefBased/>
  <w15:docId w15:val="{69B7E3E6-17B4-42EC-A98D-B83C57E1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Andrews</dc:creator>
  <cp:keywords/>
  <dc:description/>
  <cp:lastModifiedBy>Laurence Holmes</cp:lastModifiedBy>
  <cp:revision>2</cp:revision>
  <dcterms:created xsi:type="dcterms:W3CDTF">2022-03-23T17:07:00Z</dcterms:created>
  <dcterms:modified xsi:type="dcterms:W3CDTF">2022-03-23T17:07:00Z</dcterms:modified>
</cp:coreProperties>
</file>